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GLOBAL SPARK MEDIA LLC</w:t>
      </w:r>
    </w:p>
    <w:p>
      <w:pPr>
        <w:pStyle w:val="Title"/>
      </w:pPr>
      <w:r>
        <w:t>AI Media Starter Kit</w:t>
      </w:r>
    </w:p>
    <w:p>
      <w:pPr>
        <w:pStyle w:val="Subtitle"/>
      </w:pPr>
      <w:r>
        <w:t>One audience. One useful idea. One clear next step.</w:t>
      </w:r>
    </w:p>
    <w:p>
      <w:r>
        <w:t>You do not need a complicated content system to begin. Use this kit to turn one useful idea into a small, manageable production plan. Start with material you created or have clear permission to use.</w:t>
      </w:r>
    </w:p>
    <w:p>
      <w:pPr>
        <w:pStyle w:val="Heading1"/>
      </w:pPr>
      <w:r>
        <w:t>1. Write your one-page brief</w:t>
      </w:r>
    </w:p>
    <w:p>
      <w:pPr>
        <w:pStyle w:val="Heading2"/>
      </w:pPr>
      <w:r>
        <w:t>Who is this for?</w:t>
      </w:r>
    </w:p>
    <w:p>
      <w:r>
        <w:t>________________________________________________________________</w:t>
      </w:r>
    </w:p>
    <w:p>
      <w:pPr>
        <w:pStyle w:val="Heading2"/>
      </w:pPr>
      <w:r>
        <w:t>What question are you answering?</w:t>
      </w:r>
    </w:p>
    <w:p>
      <w:r>
        <w:t>________________________________________________________________</w:t>
      </w:r>
    </w:p>
    <w:p>
      <w:pPr>
        <w:pStyle w:val="Heading2"/>
      </w:pPr>
      <w:r>
        <w:t>What should the audience understand or do?</w:t>
      </w:r>
    </w:p>
    <w:p>
      <w:r>
        <w:t>________________________________________________________________</w:t>
      </w:r>
    </w:p>
    <w:p>
      <w:pPr>
        <w:pStyle w:val="Heading2"/>
      </w:pPr>
      <w:r>
        <w:t>What facts and source material will you use?</w:t>
      </w:r>
    </w:p>
    <w:p>
      <w:r>
        <w:t>________________________________________________________________</w:t>
      </w:r>
    </w:p>
    <w:p>
      <w:pPr>
        <w:pStyle w:val="Heading2"/>
      </w:pPr>
      <w:r>
        <w:t>What format fits the idea?</w:t>
      </w:r>
    </w:p>
    <w:p>
      <w:r>
        <w:t>________________________________________________________________</w:t>
      </w:r>
    </w:p>
    <w:p>
      <w:pPr>
        <w:pStyle w:val="Heading2"/>
      </w:pPr>
      <w:r>
        <w:t>Who will review it before release?</w:t>
      </w:r>
    </w:p>
    <w:p>
      <w:r>
        <w:t>________________________________________________________________</w:t>
      </w:r>
    </w:p>
    <w:p>
      <w:pPr>
        <w:pStyle w:val="Heading2"/>
      </w:pPr>
      <w:r>
        <w:t>Example</w:t>
      </w:r>
    </w:p>
    <w:p>
      <w:r>
        <w:t>Audience: first-time customers. Question: what happens during the first appointment? Format: a 20-second reel. Takeaway: know what to bring. CTA: read the booking checklist. Source: your approved service information.</w:t>
      </w:r>
    </w:p>
    <w:p>
      <w:r>
        <w:br w:type="page"/>
      </w:r>
    </w:p>
    <w:p>
      <w:pPr>
        <w:pStyle w:val="Heading1"/>
      </w:pPr>
      <w:r>
        <w:t>2. Plan the work and check the source</w:t>
      </w:r>
    </w:p>
    <w:tbl>
      <w:tblPr>
        <w:tblW w:type="dxa" w:w="9360"/>
        <w:jc w:val="left"/>
        <w:tblLayout w:type="fixed"/>
        <w:tblLook w:firstColumn="1" w:firstRow="1" w:lastColumn="0" w:lastRow="0" w:noHBand="0" w:noVBand="1" w:val="04A0"/>
        <w:tblInd w:w="120" w:type="dxa"/>
        <w:tblCellMar>
          <w:top w:w="90" w:type="dxa"/>
          <w:bottom w:w="90" w:type="dxa"/>
          <w:start w:w="120" w:type="dxa"/>
          <w:end w:w="120" w:type="dxa"/>
        </w:tblCellMar>
      </w:tblPr>
      <w:tblGrid>
        <w:gridCol w:w="1400"/>
        <w:gridCol w:w="3300"/>
        <w:gridCol w:w="4660"/>
      </w:tblGrid>
      <w:tr>
        <w:trPr>
          <w:cantSplit/>
          <w:tblHeader/>
        </w:trPr>
        <w:tc>
          <w:tcPr>
            <w:tcW w:type="dxa" w:w="1400"/>
            <w:shd w:fill="1A73E8"/>
          </w:tcPr>
          <w:p>
            <w:pPr>
              <w:spacing w:after="60" w:line="264" w:lineRule="auto"/>
            </w:pPr>
            <w:r>
              <w:rPr>
                <w:b/>
                <w:color w:val="FFFFFF"/>
                <w:sz w:val="18"/>
              </w:rPr>
              <w:t>Day</w:t>
            </w:r>
          </w:p>
        </w:tc>
        <w:tc>
          <w:tcPr>
            <w:tcW w:type="dxa" w:w="3300"/>
            <w:shd w:fill="1A73E8"/>
          </w:tcPr>
          <w:p>
            <w:pPr>
              <w:spacing w:after="60" w:line="264" w:lineRule="auto"/>
            </w:pPr>
            <w:r>
              <w:rPr>
                <w:b/>
                <w:color w:val="FFFFFF"/>
                <w:sz w:val="18"/>
              </w:rPr>
              <w:t>Action</w:t>
            </w:r>
          </w:p>
        </w:tc>
        <w:tc>
          <w:tcPr>
            <w:tcW w:type="dxa" w:w="4660"/>
            <w:shd w:fill="1A73E8"/>
          </w:tcPr>
          <w:p>
            <w:pPr>
              <w:spacing w:after="60" w:line="264" w:lineRule="auto"/>
            </w:pPr>
            <w:r>
              <w:rPr>
                <w:b/>
                <w:color w:val="FFFFFF"/>
                <w:sz w:val="18"/>
              </w:rPr>
              <w:t>Finished when…</w:t>
            </w:r>
          </w:p>
        </w:tc>
      </w:tr>
      <w:tr>
        <w:trPr>
          <w:cantSplit/>
        </w:trPr>
        <w:tc>
          <w:tcPr>
            <w:tcW w:type="dxa" w:w="1400"/>
            <w:shd w:fill="F2F5FA"/>
          </w:tcPr>
          <w:p>
            <w:pPr>
              <w:spacing w:after="60" w:line="264" w:lineRule="auto"/>
            </w:pPr>
            <w:r>
              <w:rPr>
                <w:b w:val="0"/>
                <w:color w:val="272C36"/>
                <w:sz w:val="18"/>
              </w:rPr>
              <w:t>Monday</w:t>
            </w:r>
          </w:p>
        </w:tc>
        <w:tc>
          <w:tcPr>
            <w:tcW w:type="dxa" w:w="3300"/>
            <w:shd w:fill="F2F5FA"/>
          </w:tcPr>
          <w:p>
            <w:pPr>
              <w:spacing w:after="60" w:line="264" w:lineRule="auto"/>
            </w:pPr>
            <w:r>
              <w:rPr>
                <w:b w:val="0"/>
                <w:color w:val="272C36"/>
                <w:sz w:val="18"/>
              </w:rPr>
              <w:t>Choose one question</w:t>
            </w:r>
          </w:p>
        </w:tc>
        <w:tc>
          <w:tcPr>
            <w:tcW w:type="dxa" w:w="4660"/>
            <w:shd w:fill="F2F5FA"/>
          </w:tcPr>
          <w:p>
            <w:pPr>
              <w:spacing w:after="60" w:line="264" w:lineRule="auto"/>
            </w:pPr>
            <w:r>
              <w:rPr>
                <w:b w:val="0"/>
                <w:color w:val="272C36"/>
                <w:sz w:val="18"/>
              </w:rPr>
              <w:t>You can state one useful takeaway</w:t>
            </w:r>
          </w:p>
        </w:tc>
      </w:tr>
      <w:tr>
        <w:trPr>
          <w:cantSplit/>
        </w:trPr>
        <w:tc>
          <w:tcPr>
            <w:tcW w:type="dxa" w:w="1400"/>
            <w:shd w:fill="FFFFFF"/>
          </w:tcPr>
          <w:p>
            <w:pPr>
              <w:spacing w:after="60" w:line="264" w:lineRule="auto"/>
            </w:pPr>
            <w:r>
              <w:rPr>
                <w:b w:val="0"/>
                <w:color w:val="272C36"/>
                <w:sz w:val="18"/>
              </w:rPr>
              <w:t>Tuesday</w:t>
            </w:r>
          </w:p>
        </w:tc>
        <w:tc>
          <w:tcPr>
            <w:tcW w:type="dxa" w:w="3300"/>
            <w:shd w:fill="FFFFFF"/>
          </w:tcPr>
          <w:p>
            <w:pPr>
              <w:spacing w:after="60" w:line="264" w:lineRule="auto"/>
            </w:pPr>
            <w:r>
              <w:rPr>
                <w:b w:val="0"/>
                <w:color w:val="272C36"/>
                <w:sz w:val="18"/>
              </w:rPr>
              <w:t>Collect facts and assets</w:t>
            </w:r>
          </w:p>
        </w:tc>
        <w:tc>
          <w:tcPr>
            <w:tcW w:type="dxa" w:w="4660"/>
            <w:shd w:fill="FFFFFF"/>
          </w:tcPr>
          <w:p>
            <w:pPr>
              <w:spacing w:after="60" w:line="264" w:lineRule="auto"/>
            </w:pPr>
            <w:r>
              <w:rPr>
                <w:b w:val="0"/>
                <w:color w:val="272C36"/>
                <w:sz w:val="18"/>
              </w:rPr>
              <w:t>Sources and permissions are recorded</w:t>
            </w:r>
          </w:p>
        </w:tc>
      </w:tr>
      <w:tr>
        <w:trPr>
          <w:cantSplit/>
        </w:trPr>
        <w:tc>
          <w:tcPr>
            <w:tcW w:type="dxa" w:w="1400"/>
            <w:shd w:fill="F2F5FA"/>
          </w:tcPr>
          <w:p>
            <w:pPr>
              <w:spacing w:after="60" w:line="264" w:lineRule="auto"/>
            </w:pPr>
            <w:r>
              <w:rPr>
                <w:b w:val="0"/>
                <w:color w:val="272C36"/>
                <w:sz w:val="18"/>
              </w:rPr>
              <w:t>Wednesday</w:t>
            </w:r>
          </w:p>
        </w:tc>
        <w:tc>
          <w:tcPr>
            <w:tcW w:type="dxa" w:w="3300"/>
            <w:shd w:fill="F2F5FA"/>
          </w:tcPr>
          <w:p>
            <w:pPr>
              <w:spacing w:after="60" w:line="264" w:lineRule="auto"/>
            </w:pPr>
            <w:r>
              <w:rPr>
                <w:b w:val="0"/>
                <w:color w:val="272C36"/>
                <w:sz w:val="18"/>
              </w:rPr>
              <w:t>Write and create</w:t>
            </w:r>
          </w:p>
        </w:tc>
        <w:tc>
          <w:tcPr>
            <w:tcW w:type="dxa" w:w="4660"/>
            <w:shd w:fill="F2F5FA"/>
          </w:tcPr>
          <w:p>
            <w:pPr>
              <w:spacing w:after="60" w:line="264" w:lineRule="auto"/>
            </w:pPr>
            <w:r>
              <w:rPr>
                <w:b w:val="0"/>
                <w:color w:val="272C36"/>
                <w:sz w:val="18"/>
              </w:rPr>
              <w:t>The first draft is ready to review</w:t>
            </w:r>
          </w:p>
        </w:tc>
      </w:tr>
      <w:tr>
        <w:trPr>
          <w:cantSplit/>
        </w:trPr>
        <w:tc>
          <w:tcPr>
            <w:tcW w:type="dxa" w:w="1400"/>
            <w:shd w:fill="FFFFFF"/>
          </w:tcPr>
          <w:p>
            <w:pPr>
              <w:spacing w:after="60" w:line="264" w:lineRule="auto"/>
            </w:pPr>
            <w:r>
              <w:rPr>
                <w:b w:val="0"/>
                <w:color w:val="272C36"/>
                <w:sz w:val="18"/>
              </w:rPr>
              <w:t>Thursday</w:t>
            </w:r>
          </w:p>
        </w:tc>
        <w:tc>
          <w:tcPr>
            <w:tcW w:type="dxa" w:w="3300"/>
            <w:shd w:fill="FFFFFF"/>
          </w:tcPr>
          <w:p>
            <w:pPr>
              <w:spacing w:after="60" w:line="264" w:lineRule="auto"/>
            </w:pPr>
            <w:r>
              <w:rPr>
                <w:b w:val="0"/>
                <w:color w:val="272C36"/>
                <w:sz w:val="18"/>
              </w:rPr>
              <w:t>Review and revise</w:t>
            </w:r>
          </w:p>
        </w:tc>
        <w:tc>
          <w:tcPr>
            <w:tcW w:type="dxa" w:w="4660"/>
            <w:shd w:fill="FFFFFF"/>
          </w:tcPr>
          <w:p>
            <w:pPr>
              <w:spacing w:after="60" w:line="264" w:lineRule="auto"/>
            </w:pPr>
            <w:r>
              <w:rPr>
                <w:b w:val="0"/>
                <w:color w:val="272C36"/>
                <w:sz w:val="18"/>
              </w:rPr>
              <w:t>Facts, credits, captions, and CTA are checked</w:t>
            </w:r>
          </w:p>
        </w:tc>
      </w:tr>
      <w:tr>
        <w:trPr>
          <w:cantSplit/>
        </w:trPr>
        <w:tc>
          <w:tcPr>
            <w:tcW w:type="dxa" w:w="1400"/>
            <w:shd w:fill="F2F5FA"/>
          </w:tcPr>
          <w:p>
            <w:pPr>
              <w:spacing w:after="60" w:line="264" w:lineRule="auto"/>
            </w:pPr>
            <w:r>
              <w:rPr>
                <w:b w:val="0"/>
                <w:color w:val="272C36"/>
                <w:sz w:val="18"/>
              </w:rPr>
              <w:t>Friday</w:t>
            </w:r>
          </w:p>
        </w:tc>
        <w:tc>
          <w:tcPr>
            <w:tcW w:type="dxa" w:w="3300"/>
            <w:shd w:fill="F2F5FA"/>
          </w:tcPr>
          <w:p>
            <w:pPr>
              <w:spacing w:after="60" w:line="264" w:lineRule="auto"/>
            </w:pPr>
            <w:r>
              <w:rPr>
                <w:b w:val="0"/>
                <w:color w:val="272C36"/>
                <w:sz w:val="18"/>
              </w:rPr>
              <w:t>Publish and learn</w:t>
            </w:r>
          </w:p>
        </w:tc>
        <w:tc>
          <w:tcPr>
            <w:tcW w:type="dxa" w:w="4660"/>
            <w:shd w:fill="F2F5FA"/>
          </w:tcPr>
          <w:p>
            <w:pPr>
              <w:spacing w:after="60" w:line="264" w:lineRule="auto"/>
            </w:pPr>
            <w:r>
              <w:rPr>
                <w:b w:val="0"/>
                <w:color w:val="272C36"/>
                <w:sz w:val="18"/>
              </w:rPr>
              <w:t>Approved version is released and logged</w:t>
            </w:r>
          </w:p>
        </w:tc>
      </w:tr>
    </w:tbl>
    <w:p>
      <w:pPr>
        <w:pStyle w:val="Heading2"/>
      </w:pPr>
      <w:r>
        <w:t>Your source record</w:t>
      </w:r>
    </w:p>
    <w:p>
      <w:r>
        <w:t>Asset title: ____________________</w:t>
        <w:br/>
        <w:t>Creator / owner: ____________________</w:t>
        <w:br/>
        <w:t>Source URL and date checked: ____________________</w:t>
        <w:br/>
        <w:t>License / written permission: ____________________</w:t>
        <w:br/>
        <w:t>Commercial use and editing allowed? ____________________</w:t>
        <w:br/>
        <w:t>Required credit and license link: ____________________</w:t>
        <w:br/>
        <w:t>People / voice permissions: ____________________</w:t>
        <w:br/>
        <w:t>Reviewer and approval date: ____________________</w:t>
      </w:r>
    </w:p>
    <w:p>
      <w:r>
        <w:t>If you cannot establish permission for your intended use, choose another asset or ask the rights holder. Publicly accessible does not mean unrestricted. Do not assume AI editing clears the original rights.</w:t>
      </w:r>
    </w:p>
    <w:p>
      <w:pPr>
        <w:pStyle w:val="Heading2"/>
      </w:pPr>
      <w:r>
        <w:t>One idea, three adaptations</w:t>
      </w:r>
    </w:p>
    <w:p>
      <w:r>
        <w:t>After the first piece works, adapt it into a short text post and a simple checklist. Keep the same core facts. Choose a new format only when it makes the idea more useful—not merely to increase the number of posts.</w:t>
      </w:r>
    </w:p>
    <w:p>
      <w:pPr>
        <w:pStyle w:val="Caption"/>
      </w:pPr>
      <w:r>
        <w:t>Global Spark Media LLC • Texas</w:t>
        <w:br/>
        <w:t>Ignite. Create. Amplify.</w:t>
        <w:br/>
        <w:t>GlobalSparkMedia.us — intended public destination; launch pending.</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color w:val="68707D"/>
        <w:sz w:val="16"/>
      </w:rPr>
      <w:t xml:space="preserve">Ignite. Create. Amplify.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Caption"/>
    </w:pPr>
    <w:r>
      <w:t>GLOBAL SPARK MEDIA  /  AI MEDIA STARTER KIT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40" w:line="276" w:lineRule="auto"/>
    </w:pPr>
    <w:rPr>
      <w:rFonts w:ascii="Inter" w:hAnsi="Inter"/>
      <w:b w:val="0"/>
      <w:color w:val="272C36"/>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80" w:after="180" w:line="276" w:lineRule="auto"/>
      <w:outlineLvl w:val="0"/>
    </w:pPr>
    <w:rPr>
      <w:rFonts w:asciiTheme="majorHAnsi" w:eastAsiaTheme="majorEastAsia" w:hAnsiTheme="majorHAnsi" w:cstheme="majorBidi" w:ascii="Montserrat" w:hAnsi="Montserrat"/>
      <w:b/>
      <w:bCs/>
      <w:color w:val="1A73E8"/>
      <w:sz w:val="38"/>
      <w:szCs w:val="28"/>
    </w:rPr>
  </w:style>
  <w:style w:type="paragraph" w:styleId="Heading2">
    <w:name w:val="heading 2"/>
    <w:basedOn w:val="Normal"/>
    <w:next w:val="Normal"/>
    <w:link w:val="Heading2Char"/>
    <w:uiPriority w:val="9"/>
    <w:unhideWhenUsed/>
    <w:qFormat/>
    <w:rsid w:val="00FC693F"/>
    <w:pPr>
      <w:keepNext/>
      <w:keepLines/>
      <w:widowControl/>
      <w:spacing w:before="240" w:after="120" w:line="276" w:lineRule="auto"/>
      <w:outlineLvl w:val="1"/>
    </w:pPr>
    <w:rPr>
      <w:rFonts w:asciiTheme="majorHAnsi" w:eastAsiaTheme="majorEastAsia" w:hAnsiTheme="majorHAnsi" w:cstheme="majorBidi" w:ascii="Montserrat" w:hAnsi="Montserrat"/>
      <w:b/>
      <w:bCs/>
      <w:color w:val="7B2CBF"/>
      <w:sz w:val="26"/>
      <w:szCs w:val="26"/>
    </w:rPr>
  </w:style>
  <w:style w:type="paragraph" w:styleId="Heading3">
    <w:name w:val="heading 3"/>
    <w:basedOn w:val="Normal"/>
    <w:next w:val="Normal"/>
    <w:link w:val="Heading3Char"/>
    <w:uiPriority w:val="9"/>
    <w:unhideWhenUsed/>
    <w:qFormat/>
    <w:rsid w:val="00FC693F"/>
    <w:pPr>
      <w:keepNext/>
      <w:keepLines/>
      <w:widowControl/>
      <w:spacing w:before="160" w:after="80" w:line="276" w:lineRule="auto"/>
      <w:outlineLvl w:val="2"/>
    </w:pPr>
    <w:rPr>
      <w:rFonts w:asciiTheme="majorHAnsi" w:eastAsiaTheme="majorEastAsia" w:hAnsiTheme="majorHAnsi" w:cstheme="majorBidi" w:ascii="Montserrat" w:hAnsi="Montserrat"/>
      <w:b/>
      <w:bCs/>
      <w:color w:val="0D0D0D"/>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widowControl/>
      <w:pBdr>
        <w:bottom w:val="single" w:sz="8" w:space="4" w:color="4F81BD" w:themeColor="accent1"/>
      </w:pBdr>
      <w:spacing w:after="240" w:line="276" w:lineRule="auto" w:before="0"/>
      <w:contextualSpacing/>
    </w:pPr>
    <w:rPr>
      <w:rFonts w:asciiTheme="majorHAnsi" w:eastAsiaTheme="majorEastAsia" w:hAnsiTheme="majorHAnsi" w:cstheme="majorBidi" w:ascii="Montserrat" w:hAnsi="Montserrat"/>
      <w:b/>
      <w:color w:val="0D0D0D"/>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widowControl/>
      <w:numPr>
        <w:ilvl w:val="1"/>
      </w:numPr>
      <w:spacing w:before="0" w:after="280" w:line="276" w:lineRule="auto"/>
    </w:pPr>
    <w:rPr>
      <w:rFonts w:asciiTheme="majorHAnsi" w:eastAsiaTheme="majorEastAsia" w:hAnsiTheme="majorHAnsi" w:cstheme="majorBidi" w:ascii="Inter" w:hAnsi="Inter"/>
      <w:b w:val="0"/>
      <w:i/>
      <w:iCs/>
      <w:color w:val="5E6572"/>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widowControl/>
      <w:spacing w:line="276" w:lineRule="auto" w:before="80" w:after="80"/>
    </w:pPr>
    <w:rPr>
      <w:rFonts w:ascii="Inter" w:hAnsi="Inter"/>
      <w:b w:val="0"/>
      <w:bCs/>
      <w:color w:val="68707D"/>
      <w:sz w:val="16"/>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